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87C6A" w:rsidRDefault="00F92268" w:rsidP="00850792">
      <w:pPr>
        <w:pStyle w:val="BodyText"/>
        <w:rPr>
          <w:sz w:val="6"/>
          <w:szCs w:val="6"/>
        </w:rPr>
      </w:pPr>
      <w:r w:rsidRPr="00A87C6A">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87C6A"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87C6A" w:rsidRDefault="00F92268" w:rsidP="00F246C7">
            <w:pPr>
              <w:pStyle w:val="RefTableData"/>
            </w:pPr>
            <w:r w:rsidRPr="00A87C6A">
              <w:t>Reference number(s)</w:t>
            </w:r>
          </w:p>
        </w:tc>
      </w:tr>
      <w:tr w:rsidR="00F92268" w:rsidRPr="00A87C6A"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37A6B71" w:rsidR="00F92268" w:rsidRPr="00A87C6A" w:rsidRDefault="00870D52" w:rsidP="00F246C7">
            <w:pPr>
              <w:pStyle w:val="RefTableHeader"/>
            </w:pPr>
            <w:r w:rsidRPr="00A87C6A">
              <w:t>6134-A</w:t>
            </w:r>
          </w:p>
        </w:tc>
      </w:tr>
    </w:tbl>
    <w:p w14:paraId="74FBA5B4" w14:textId="77777777" w:rsidR="00051356" w:rsidRPr="00A87C6A" w:rsidRDefault="00051356" w:rsidP="00A672B3">
      <w:pPr>
        <w:pStyle w:val="BodyText"/>
        <w:rPr>
          <w:b/>
          <w:bCs/>
          <w:sz w:val="16"/>
          <w:szCs w:val="16"/>
        </w:rPr>
        <w:sectPr w:rsidR="00051356" w:rsidRPr="00A87C6A"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870631D" w:rsidR="004B15BB" w:rsidRPr="00A87C6A" w:rsidRDefault="001652F5" w:rsidP="007E5C16">
      <w:pPr>
        <w:pStyle w:val="Heading1"/>
      </w:pPr>
      <w:r w:rsidRPr="00A87C6A">
        <w:t>Specialty Guideline Management</w:t>
      </w:r>
      <w:r w:rsidR="008C54D9" w:rsidRPr="00A87C6A">
        <w:br/>
      </w:r>
      <w:proofErr w:type="spellStart"/>
      <w:r w:rsidRPr="00A87C6A">
        <w:t>Veopoz</w:t>
      </w:r>
      <w:proofErr w:type="spellEnd"/>
    </w:p>
    <w:p w14:paraId="78861C92" w14:textId="1CFF430A" w:rsidR="00203468" w:rsidRPr="00A87C6A" w:rsidRDefault="00C64534" w:rsidP="008E0F0D">
      <w:pPr>
        <w:pStyle w:val="Heading2"/>
      </w:pPr>
      <w:r w:rsidRPr="00A87C6A">
        <w:t xml:space="preserve">Products Referenced by this </w:t>
      </w:r>
      <w:r w:rsidR="00501602" w:rsidRPr="00A87C6A">
        <w:t>Document</w:t>
      </w:r>
    </w:p>
    <w:p w14:paraId="5455152B" w14:textId="1810A13A" w:rsidR="008E0F0D" w:rsidRPr="00A87C6A" w:rsidRDefault="00D82D85" w:rsidP="008B73E8">
      <w:pPr>
        <w:pStyle w:val="BodyText"/>
      </w:pPr>
      <w:r w:rsidRPr="00A87C6A">
        <w:t xml:space="preserve">Drugs that are listed in the </w:t>
      </w:r>
      <w:r w:rsidR="000315F1" w:rsidRPr="00A87C6A">
        <w:t>following table</w:t>
      </w:r>
      <w:r w:rsidRPr="00A87C6A">
        <w:t xml:space="preserve"> include both brand and generic and all dosage forms and strengths unless otherwise stated. </w:t>
      </w:r>
      <w:r w:rsidR="00CB29B2" w:rsidRPr="00A87C6A">
        <w:t>Over</w:t>
      </w:r>
      <w:r w:rsidR="006B083E">
        <w:t>-</w:t>
      </w:r>
      <w:r w:rsidR="00CB29B2" w:rsidRPr="00A87C6A">
        <w:t>the</w:t>
      </w:r>
      <w:r w:rsidR="006B083E">
        <w:t>-</w:t>
      </w:r>
      <w:r w:rsidR="00CB29B2" w:rsidRPr="00A87C6A">
        <w:t>counter (OTC)</w:t>
      </w:r>
      <w:r w:rsidRPr="00A87C6A">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A87C6A" w14:paraId="057AAA89" w14:textId="77777777">
        <w:trPr>
          <w:cantSplit/>
          <w:trHeight w:val="288"/>
          <w:tblHeader/>
        </w:trPr>
        <w:tc>
          <w:tcPr>
            <w:tcW w:w="5265" w:type="dxa"/>
            <w:vAlign w:val="center"/>
          </w:tcPr>
          <w:p w14:paraId="6CBFE1BD" w14:textId="77777777" w:rsidR="005B4D7C" w:rsidRPr="00A87C6A" w:rsidRDefault="005B4D7C">
            <w:pPr>
              <w:pStyle w:val="TableHeader"/>
            </w:pPr>
            <w:r w:rsidRPr="00A87C6A">
              <w:t>Brand Name</w:t>
            </w:r>
          </w:p>
        </w:tc>
        <w:tc>
          <w:tcPr>
            <w:tcW w:w="5595" w:type="dxa"/>
            <w:vAlign w:val="center"/>
          </w:tcPr>
          <w:p w14:paraId="18440B85" w14:textId="77777777" w:rsidR="005B4D7C" w:rsidRPr="00A87C6A" w:rsidRDefault="005B4D7C">
            <w:pPr>
              <w:pStyle w:val="TableHeader"/>
            </w:pPr>
            <w:r w:rsidRPr="00A87C6A">
              <w:t>Generic Name</w:t>
            </w:r>
          </w:p>
        </w:tc>
      </w:tr>
      <w:tr w:rsidR="005B4D7C" w:rsidRPr="00A87C6A" w14:paraId="7742B1EC" w14:textId="77777777">
        <w:trPr>
          <w:cantSplit/>
        </w:trPr>
        <w:tc>
          <w:tcPr>
            <w:tcW w:w="5265" w:type="dxa"/>
          </w:tcPr>
          <w:p w14:paraId="4DED0C9B" w14:textId="16A2C51E" w:rsidR="005B4D7C" w:rsidRPr="00A87C6A" w:rsidRDefault="00754B42">
            <w:pPr>
              <w:pStyle w:val="TableDataUnpadded"/>
            </w:pPr>
            <w:proofErr w:type="spellStart"/>
            <w:r w:rsidRPr="00A87C6A">
              <w:t>Veopoz</w:t>
            </w:r>
            <w:proofErr w:type="spellEnd"/>
          </w:p>
        </w:tc>
        <w:tc>
          <w:tcPr>
            <w:tcW w:w="5595" w:type="dxa"/>
          </w:tcPr>
          <w:p w14:paraId="1A09710D" w14:textId="52945442" w:rsidR="005B4D7C" w:rsidRPr="00A87C6A" w:rsidRDefault="00754B42">
            <w:pPr>
              <w:pStyle w:val="TableDataUnpadded"/>
            </w:pPr>
            <w:r w:rsidRPr="00A87C6A">
              <w:t>pozelimab-bbfg</w:t>
            </w:r>
          </w:p>
        </w:tc>
      </w:tr>
    </w:tbl>
    <w:p w14:paraId="14CE6108" w14:textId="45B9E2B7" w:rsidR="00FC1AAD" w:rsidRPr="00A87C6A" w:rsidRDefault="00ED052F" w:rsidP="00AA2A94">
      <w:pPr>
        <w:pStyle w:val="Heading2"/>
        <w:tabs>
          <w:tab w:val="left" w:pos="9540"/>
        </w:tabs>
      </w:pPr>
      <w:r w:rsidRPr="00A87C6A">
        <w:t>Indications</w:t>
      </w:r>
    </w:p>
    <w:p w14:paraId="1EA61FEB" w14:textId="6EE85B9B" w:rsidR="001D3F4B" w:rsidRPr="00A87C6A" w:rsidRDefault="001D3F4B" w:rsidP="001D3F4B">
      <w:pPr>
        <w:pStyle w:val="BodyText"/>
      </w:pPr>
      <w:r w:rsidRPr="00A87C6A">
        <w:t>The indications below including FDA-approved indications and compendial uses are considered a covered benefit provided that all the approval criteria are met and the member has no exclusions to the prescribed therapy.</w:t>
      </w:r>
    </w:p>
    <w:p w14:paraId="134B5687" w14:textId="5164AB6B" w:rsidR="00ED052F" w:rsidRPr="00A87C6A" w:rsidRDefault="00ED052F" w:rsidP="00ED052F">
      <w:pPr>
        <w:pStyle w:val="Heading3"/>
        <w:keepNext w:val="0"/>
      </w:pPr>
      <w:r w:rsidRPr="00A87C6A">
        <w:t>FDA-approved Indications</w:t>
      </w:r>
    </w:p>
    <w:p w14:paraId="4C434745" w14:textId="68DF70E6" w:rsidR="00ED052F" w:rsidRPr="00A87C6A" w:rsidRDefault="00BC10FE" w:rsidP="00BC10FE">
      <w:pPr>
        <w:pStyle w:val="BodyText"/>
      </w:pPr>
      <w:proofErr w:type="spellStart"/>
      <w:r w:rsidRPr="00A87C6A">
        <w:t>Veopoz</w:t>
      </w:r>
      <w:proofErr w:type="spellEnd"/>
      <w:r w:rsidRPr="00A87C6A">
        <w:t xml:space="preserve"> is indicated for the treatment of adult and pediatric patients 1 year of age and older with CD55-deficient protein-losing enteropathy (PLE), also known as CHAPLE disease.</w:t>
      </w:r>
    </w:p>
    <w:p w14:paraId="06994B9C" w14:textId="64D6657E" w:rsidR="00E346F3" w:rsidRPr="00A87C6A" w:rsidRDefault="00E346F3" w:rsidP="00E346F3">
      <w:pPr>
        <w:pStyle w:val="BodyText"/>
      </w:pPr>
      <w:r w:rsidRPr="00A87C6A">
        <w:t>All other indications are considered experimental/investigational and not medically necessary.</w:t>
      </w:r>
    </w:p>
    <w:p w14:paraId="36381B6D" w14:textId="1F198BF5" w:rsidR="000D2496" w:rsidRPr="00A87C6A" w:rsidRDefault="000D2496" w:rsidP="000D2496">
      <w:pPr>
        <w:pStyle w:val="Heading2"/>
      </w:pPr>
      <w:r w:rsidRPr="00A87C6A">
        <w:t>Documentation</w:t>
      </w:r>
    </w:p>
    <w:p w14:paraId="2180ED6E" w14:textId="42F1E2DF" w:rsidR="000D2496" w:rsidRPr="00A87C6A" w:rsidRDefault="00C82F95" w:rsidP="000D2496">
      <w:pPr>
        <w:pStyle w:val="BodyText"/>
      </w:pPr>
      <w:r w:rsidRPr="00A87C6A">
        <w:t>Submission of the following information is necessary to initiate the prior authorization review:</w:t>
      </w:r>
    </w:p>
    <w:p w14:paraId="4C46BB3F" w14:textId="77777777" w:rsidR="00120079" w:rsidRPr="00A87C6A" w:rsidRDefault="00C82F95" w:rsidP="00C82F95">
      <w:pPr>
        <w:pStyle w:val="ListParagraph"/>
      </w:pPr>
      <w:r w:rsidRPr="00A87C6A">
        <w:t>For initial requests: chart notes, medical records and genetic test results documenting:</w:t>
      </w:r>
    </w:p>
    <w:p w14:paraId="34B9F92C" w14:textId="3F58C9E9" w:rsidR="00C82F95" w:rsidRPr="00A87C6A" w:rsidRDefault="00C82F95" w:rsidP="00C82F95">
      <w:pPr>
        <w:pStyle w:val="ListParagraph"/>
        <w:numPr>
          <w:ilvl w:val="0"/>
          <w:numId w:val="31"/>
        </w:numPr>
        <w:ind w:left="1440"/>
      </w:pPr>
      <w:r w:rsidRPr="00A87C6A">
        <w:t>Confirmed biallelic CD55 loss-of-function mutation</w:t>
      </w:r>
    </w:p>
    <w:p w14:paraId="5D98CEEB" w14:textId="77777777" w:rsidR="00C82F95" w:rsidRPr="00A87C6A" w:rsidRDefault="00C82F95" w:rsidP="00C82F95">
      <w:pPr>
        <w:pStyle w:val="ListParagraph"/>
        <w:numPr>
          <w:ilvl w:val="0"/>
          <w:numId w:val="31"/>
        </w:numPr>
        <w:ind w:left="1440"/>
      </w:pPr>
      <w:r w:rsidRPr="00A87C6A">
        <w:t xml:space="preserve">Hypoalbuminemia (serum albumin concentration of </w:t>
      </w:r>
      <w:r w:rsidRPr="00A87C6A">
        <w:rPr>
          <w:rFonts w:ascii="Cambria Math" w:hAnsi="Cambria Math" w:cs="Cambria Math"/>
        </w:rPr>
        <w:t>≤</w:t>
      </w:r>
      <w:r w:rsidRPr="00A87C6A">
        <w:t>3.2 g/dL)</w:t>
      </w:r>
    </w:p>
    <w:p w14:paraId="4A470794" w14:textId="77777777" w:rsidR="00C82F95" w:rsidRPr="00A87C6A" w:rsidRDefault="00C82F95" w:rsidP="00C82F95">
      <w:pPr>
        <w:pStyle w:val="ListParagraph"/>
        <w:numPr>
          <w:ilvl w:val="0"/>
          <w:numId w:val="31"/>
        </w:numPr>
        <w:ind w:left="1440"/>
      </w:pPr>
      <w:r w:rsidRPr="00A87C6A">
        <w:lastRenderedPageBreak/>
        <w:t>Signs and symptoms of CD-55 PLE (e.g., abdominal pain, diarrhea, peripheral edema, or facial edema)</w:t>
      </w:r>
    </w:p>
    <w:p w14:paraId="6A215DB7" w14:textId="21FA9C6C" w:rsidR="000D2496" w:rsidRPr="00A87C6A" w:rsidRDefault="00C82F95" w:rsidP="00C82F95">
      <w:pPr>
        <w:pStyle w:val="ListParagraph"/>
      </w:pPr>
      <w:r w:rsidRPr="00A87C6A">
        <w:t>For continuation requests: Chart notes or medical record documentation supporting positive clinical response.</w:t>
      </w:r>
    </w:p>
    <w:p w14:paraId="50A38FBA" w14:textId="573131F7" w:rsidR="00FE0C63" w:rsidRPr="00A87C6A" w:rsidRDefault="00685107" w:rsidP="00E050E1">
      <w:pPr>
        <w:pStyle w:val="Heading2"/>
      </w:pPr>
      <w:r w:rsidRPr="00A87C6A">
        <w:t>Coverage Criteria</w:t>
      </w:r>
    </w:p>
    <w:p w14:paraId="016EC219" w14:textId="364A09BF" w:rsidR="008F01E9" w:rsidRPr="00A87C6A" w:rsidRDefault="008F01E9" w:rsidP="008F01E9">
      <w:pPr>
        <w:pStyle w:val="Heading3"/>
      </w:pPr>
      <w:r w:rsidRPr="00A87C6A">
        <w:t>CD55</w:t>
      </w:r>
      <w:r w:rsidR="00253C72" w:rsidRPr="00A87C6A">
        <w:t xml:space="preserve">-Deficient Protein-Losing Enteropathy </w:t>
      </w:r>
      <w:r w:rsidRPr="00A87C6A">
        <w:t>(PLE)</w:t>
      </w:r>
    </w:p>
    <w:p w14:paraId="5D98BE6D" w14:textId="77777777" w:rsidR="009375B5" w:rsidRPr="00A87C6A" w:rsidRDefault="00217015" w:rsidP="00217015">
      <w:pPr>
        <w:pStyle w:val="BodyText"/>
      </w:pPr>
      <w:r w:rsidRPr="00A87C6A">
        <w:t>Authorization of 6 months may be granted for treatment of CD55-deficient protein-losing enteropathy (PLE) when all of the following criteria are met:</w:t>
      </w:r>
    </w:p>
    <w:p w14:paraId="3B7D059A" w14:textId="77777777" w:rsidR="00217015" w:rsidRPr="00A87C6A" w:rsidRDefault="00217015" w:rsidP="00217015">
      <w:pPr>
        <w:pStyle w:val="ListParagraph"/>
        <w:numPr>
          <w:ilvl w:val="0"/>
          <w:numId w:val="35"/>
        </w:numPr>
      </w:pPr>
      <w:r w:rsidRPr="00A87C6A">
        <w:t>The member has a confirmed biallelic CD55 loss-of-function mutation detected by genotype analysis</w:t>
      </w:r>
    </w:p>
    <w:p w14:paraId="464CB378" w14:textId="77777777" w:rsidR="00217015" w:rsidRPr="00A87C6A" w:rsidRDefault="00217015" w:rsidP="00217015">
      <w:pPr>
        <w:pStyle w:val="ListParagraph"/>
        <w:numPr>
          <w:ilvl w:val="0"/>
          <w:numId w:val="35"/>
        </w:numPr>
      </w:pPr>
      <w:r w:rsidRPr="00A87C6A">
        <w:t xml:space="preserve">The member has hypoalbuminemia (serum albumin concentration of </w:t>
      </w:r>
      <w:r w:rsidRPr="00A87C6A">
        <w:rPr>
          <w:rFonts w:ascii="Cambria Math" w:hAnsi="Cambria Math" w:cs="Cambria Math"/>
        </w:rPr>
        <w:t>≤</w:t>
      </w:r>
      <w:r w:rsidRPr="00A87C6A">
        <w:t>3.2 g/dL)</w:t>
      </w:r>
    </w:p>
    <w:p w14:paraId="078DEA39" w14:textId="77777777" w:rsidR="00217015" w:rsidRPr="00A87C6A" w:rsidRDefault="00217015" w:rsidP="00217015">
      <w:pPr>
        <w:pStyle w:val="ListParagraph"/>
        <w:numPr>
          <w:ilvl w:val="0"/>
          <w:numId w:val="35"/>
        </w:numPr>
      </w:pPr>
      <w:r w:rsidRPr="00A87C6A">
        <w:t>The member has one or more of the following signs and symptoms of CD-55 PLE within the past 6 months:</w:t>
      </w:r>
    </w:p>
    <w:p w14:paraId="6A5F4833" w14:textId="77777777" w:rsidR="00217015" w:rsidRPr="00A87C6A" w:rsidRDefault="00217015" w:rsidP="00217015">
      <w:pPr>
        <w:pStyle w:val="ListParagraph"/>
        <w:numPr>
          <w:ilvl w:val="0"/>
          <w:numId w:val="34"/>
        </w:numPr>
        <w:ind w:left="1440"/>
      </w:pPr>
      <w:r w:rsidRPr="00A87C6A">
        <w:t>Abdominal pain</w:t>
      </w:r>
    </w:p>
    <w:p w14:paraId="6461AEE8" w14:textId="77777777" w:rsidR="00217015" w:rsidRPr="00A87C6A" w:rsidRDefault="00217015" w:rsidP="00217015">
      <w:pPr>
        <w:pStyle w:val="ListParagraph"/>
        <w:numPr>
          <w:ilvl w:val="0"/>
          <w:numId w:val="34"/>
        </w:numPr>
        <w:ind w:left="1440"/>
      </w:pPr>
      <w:r w:rsidRPr="00A87C6A">
        <w:t>Diarrhea</w:t>
      </w:r>
    </w:p>
    <w:p w14:paraId="127FE715" w14:textId="77777777" w:rsidR="00217015" w:rsidRPr="00A87C6A" w:rsidRDefault="00217015" w:rsidP="00217015">
      <w:pPr>
        <w:pStyle w:val="ListParagraph"/>
        <w:numPr>
          <w:ilvl w:val="0"/>
          <w:numId w:val="34"/>
        </w:numPr>
        <w:ind w:left="1440"/>
      </w:pPr>
      <w:r w:rsidRPr="00A87C6A">
        <w:t>Peripheral edema</w:t>
      </w:r>
    </w:p>
    <w:p w14:paraId="4FD0BA37" w14:textId="77777777" w:rsidR="00217015" w:rsidRPr="00A87C6A" w:rsidRDefault="00217015" w:rsidP="00217015">
      <w:pPr>
        <w:pStyle w:val="ListParagraph"/>
        <w:numPr>
          <w:ilvl w:val="0"/>
          <w:numId w:val="34"/>
        </w:numPr>
        <w:ind w:left="1440"/>
      </w:pPr>
      <w:r w:rsidRPr="00A87C6A">
        <w:t>Facial edema</w:t>
      </w:r>
    </w:p>
    <w:p w14:paraId="3A643EC3" w14:textId="5593E42D" w:rsidR="00A501AC" w:rsidRPr="00A87C6A" w:rsidRDefault="00A501AC" w:rsidP="00A501AC">
      <w:pPr>
        <w:pStyle w:val="Heading2"/>
      </w:pPr>
      <w:r w:rsidRPr="00A87C6A">
        <w:t>Continuation of Therapy</w:t>
      </w:r>
    </w:p>
    <w:p w14:paraId="32C8905D" w14:textId="42508297" w:rsidR="00A501AC" w:rsidRPr="00A87C6A" w:rsidRDefault="00A1631B" w:rsidP="00A1631B">
      <w:pPr>
        <w:pStyle w:val="BodyText"/>
      </w:pPr>
      <w:r w:rsidRPr="00A87C6A">
        <w:t>Authorization of 12 months may be granted for continued treatment in members requesting reauthorization when there is no evidence of unacceptable toxicity or disease progression while on the current regimen and member demonstrates a positive response to therapy (e.g., normalization of serum albumin, improvement in signs and symptoms of disease, and/or decrease in number of hospitalizations and infections)</w:t>
      </w:r>
    </w:p>
    <w:p w14:paraId="10DA4309" w14:textId="5847E813" w:rsidR="00FF66BF" w:rsidRPr="00A87C6A"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A87C6A">
        <w:t>References</w:t>
      </w:r>
    </w:p>
    <w:p w14:paraId="47E1A10C" w14:textId="4FADA982" w:rsidR="00C44990" w:rsidRPr="006B083E" w:rsidRDefault="001F1B1E" w:rsidP="0063438E">
      <w:pPr>
        <w:pStyle w:val="ReferenceOrdered"/>
      </w:pPr>
      <w:proofErr w:type="spellStart"/>
      <w:r w:rsidRPr="00A87C6A">
        <w:t>Veopoz</w:t>
      </w:r>
      <w:proofErr w:type="spellEnd"/>
      <w:r w:rsidRPr="00A87C6A">
        <w:t xml:space="preserve"> [package insert]. Tarrytown, NY: Regeneron Pharmaceuticals, Inc.; March 2024.</w:t>
      </w:r>
    </w:p>
    <w:sectPr w:rsidR="00C44990" w:rsidRPr="006B083E" w:rsidSect="009E37A9">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D5AF4" w14:textId="77777777" w:rsidR="00E06F91" w:rsidRDefault="00E06F91">
      <w:r>
        <w:separator/>
      </w:r>
    </w:p>
  </w:endnote>
  <w:endnote w:type="continuationSeparator" w:id="0">
    <w:p w14:paraId="75B5B82E" w14:textId="77777777" w:rsidR="00E06F91" w:rsidRDefault="00E06F91">
      <w:r>
        <w:continuationSeparator/>
      </w:r>
    </w:p>
  </w:endnote>
  <w:endnote w:type="continuationNotice" w:id="1">
    <w:p w14:paraId="4076DDF6" w14:textId="77777777" w:rsidR="00E06F91" w:rsidRDefault="00E06F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9C30AC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E37A9" w:rsidRPr="009E37A9">
      <w:rPr>
        <w:rFonts w:cs="Arial"/>
        <w:noProof/>
        <w:sz w:val="16"/>
        <w:szCs w:val="16"/>
      </w:rPr>
      <w:t>Veopoz</w:t>
    </w:r>
    <w:r w:rsidR="009E37A9">
      <w:rPr>
        <w:rFonts w:cs="Arial"/>
        <w:noProof/>
        <w:snapToGrid w:val="0"/>
        <w:color w:val="000000"/>
        <w:sz w:val="16"/>
        <w:szCs w:val="16"/>
      </w:rPr>
      <w:t xml:space="preserve"> SGM 6134-A</w:t>
    </w:r>
    <w:r w:rsidR="009E37A9" w:rsidRPr="009E37A9">
      <w:rPr>
        <w:rFonts w:cs="Arial"/>
        <w:noProof/>
        <w:sz w:val="16"/>
        <w:szCs w:val="16"/>
      </w:rPr>
      <w:t xml:space="preserve"> P2024</w:t>
    </w:r>
    <w:r w:rsidR="009E37A9">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7BEBC7D8" w14:textId="77777777" w:rsidR="00120079"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BB57985" w:rsidR="00F75C81" w:rsidRPr="00AA1E6A" w:rsidRDefault="00C36B72" w:rsidP="009E37A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83A2BD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87C6A">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056B66" w:rsidRPr="00333444">
      <w:rPr>
        <w:rFonts w:cs="Arial"/>
        <w:noProof/>
        <w:sz w:val="16"/>
        <w:szCs w:val="16"/>
        <w:lang w:val="pt-PT"/>
      </w:rPr>
      <w:t>Veopoz</w:t>
    </w:r>
    <w:r w:rsidR="00056B66">
      <w:rPr>
        <w:rFonts w:cs="Arial"/>
        <w:noProof/>
        <w:snapToGrid w:val="0"/>
        <w:color w:val="000000"/>
        <w:sz w:val="16"/>
        <w:szCs w:val="16"/>
        <w:lang w:val="pt-PT"/>
      </w:rPr>
      <w:t xml:space="preserve"> SGM 6134-A</w:t>
    </w:r>
    <w:r w:rsidR="00056B66" w:rsidRPr="00333444">
      <w:rPr>
        <w:rFonts w:cs="Arial"/>
        <w:noProof/>
        <w:sz w:val="16"/>
        <w:szCs w:val="16"/>
        <w:lang w:val="pt-PT"/>
      </w:rPr>
      <w:t xml:space="preserve"> </w:t>
    </w:r>
    <w:r w:rsidR="004A35B8">
      <w:rPr>
        <w:rFonts w:cs="Arial"/>
        <w:noProof/>
        <w:sz w:val="16"/>
        <w:szCs w:val="16"/>
        <w:lang w:val="pt-PT"/>
      </w:rPr>
      <w:t>P</w:t>
    </w:r>
    <w:r w:rsidR="00056B66" w:rsidRPr="00333444">
      <w:rPr>
        <w:rFonts w:cs="Arial"/>
        <w:noProof/>
        <w:sz w:val="16"/>
        <w:szCs w:val="16"/>
        <w:lang w:val="pt-PT"/>
      </w:rPr>
      <w:t>2024</w:t>
    </w:r>
    <w:r w:rsidR="00056B66">
      <w:rPr>
        <w:rFonts w:cs="Arial"/>
        <w:noProof/>
        <w:snapToGrid w:val="0"/>
        <w:color w:val="000000"/>
        <w:sz w:val="16"/>
        <w:szCs w:val="16"/>
        <w:lang w:val="pt-PT"/>
      </w:rPr>
      <w:t>_R.docx</w:t>
    </w:r>
    <w:r w:rsidRPr="00EC47B6">
      <w:rPr>
        <w:rFonts w:cs="Arial"/>
        <w:noProof/>
        <w:sz w:val="16"/>
        <w:szCs w:val="16"/>
      </w:rPr>
      <w:fldChar w:fldCharType="end"/>
    </w:r>
    <w:r w:rsidRPr="00A87C6A">
      <w:rPr>
        <w:rFonts w:cs="Arial"/>
        <w:snapToGrid w:val="0"/>
        <w:color w:val="000000"/>
        <w:sz w:val="16"/>
        <w:lang w:val="pt-PT"/>
      </w:rPr>
      <w:tab/>
      <w:t>© 202</w:t>
    </w:r>
    <w:r w:rsidR="00D74279" w:rsidRPr="00A87C6A">
      <w:rPr>
        <w:rFonts w:cs="Arial"/>
        <w:snapToGrid w:val="0"/>
        <w:color w:val="000000"/>
        <w:sz w:val="16"/>
        <w:lang w:val="pt-PT"/>
      </w:rPr>
      <w:t>4</w:t>
    </w:r>
    <w:r w:rsidRPr="00A87C6A">
      <w:rPr>
        <w:rFonts w:cs="Arial"/>
        <w:snapToGrid w:val="0"/>
        <w:color w:val="000000"/>
        <w:sz w:val="16"/>
        <w:lang w:val="pt-PT"/>
      </w:rPr>
      <w:t xml:space="preserve"> CVS Caremark. </w:t>
    </w:r>
    <w:r w:rsidRPr="00EC47B6">
      <w:rPr>
        <w:rFonts w:cs="Arial"/>
        <w:snapToGrid w:val="0"/>
        <w:color w:val="000000"/>
        <w:sz w:val="16"/>
      </w:rPr>
      <w:t>All rights reserved.</w:t>
    </w:r>
  </w:p>
  <w:p w14:paraId="0B9A9483" w14:textId="77777777" w:rsidR="00120079"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5379642" w:rsidR="00ED04EC" w:rsidRPr="00F50D98" w:rsidRDefault="00F50D98" w:rsidP="0033344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60305" w14:textId="77777777" w:rsidR="00E06F91" w:rsidRDefault="00E06F91">
      <w:r>
        <w:separator/>
      </w:r>
    </w:p>
  </w:footnote>
  <w:footnote w:type="continuationSeparator" w:id="0">
    <w:p w14:paraId="45A93A58" w14:textId="77777777" w:rsidR="00E06F91" w:rsidRDefault="00E06F91">
      <w:r>
        <w:continuationSeparator/>
      </w:r>
    </w:p>
  </w:footnote>
  <w:footnote w:type="continuationNotice" w:id="1">
    <w:p w14:paraId="36ADBCA2" w14:textId="77777777" w:rsidR="00E06F91" w:rsidRDefault="00E06F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870D52">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653CD8D1" w:rsidR="00ED04EC" w:rsidRPr="00870D52" w:rsidRDefault="00870D52" w:rsidP="00870D52">
          <w:pPr>
            <w:pStyle w:val="RefTableData"/>
          </w:pPr>
          <w:r w:rsidRPr="00870D52">
            <w:t>6134-A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3135B"/>
    <w:multiLevelType w:val="hybridMultilevel"/>
    <w:tmpl w:val="D35E5ED6"/>
    <w:lvl w:ilvl="0" w:tplc="04090015">
      <w:start w:val="1"/>
      <w:numFmt w:val="upperLetter"/>
      <w:lvlText w:val="%1."/>
      <w:lvlJc w:val="left"/>
      <w:pPr>
        <w:ind w:left="60" w:hanging="360"/>
      </w:pPr>
      <w:rPr>
        <w:vertAlign w:val="baseline"/>
      </w:rPr>
    </w:lvl>
    <w:lvl w:ilvl="1" w:tplc="04090019">
      <w:start w:val="1"/>
      <w:numFmt w:val="lowerLetter"/>
      <w:lvlText w:val="%2."/>
      <w:lvlJc w:val="left"/>
      <w:pPr>
        <w:ind w:left="780" w:hanging="360"/>
      </w:pPr>
    </w:lvl>
    <w:lvl w:ilvl="2" w:tplc="0409001B">
      <w:start w:val="1"/>
      <w:numFmt w:val="lowerRoman"/>
      <w:lvlText w:val="%3."/>
      <w:lvlJc w:val="right"/>
      <w:pPr>
        <w:ind w:left="1500" w:hanging="180"/>
      </w:pPr>
    </w:lvl>
    <w:lvl w:ilvl="3" w:tplc="0409000F">
      <w:start w:val="1"/>
      <w:numFmt w:val="decimal"/>
      <w:lvlText w:val="%4."/>
      <w:lvlJc w:val="left"/>
      <w:pPr>
        <w:ind w:left="2220" w:hanging="360"/>
      </w:pPr>
    </w:lvl>
    <w:lvl w:ilvl="4" w:tplc="04090019">
      <w:start w:val="1"/>
      <w:numFmt w:val="lowerLetter"/>
      <w:lvlText w:val="%5."/>
      <w:lvlJc w:val="left"/>
      <w:pPr>
        <w:ind w:left="2940" w:hanging="360"/>
      </w:pPr>
    </w:lvl>
    <w:lvl w:ilvl="5" w:tplc="0409001B">
      <w:start w:val="1"/>
      <w:numFmt w:val="lowerRoman"/>
      <w:lvlText w:val="%6."/>
      <w:lvlJc w:val="right"/>
      <w:pPr>
        <w:ind w:left="3660" w:hanging="180"/>
      </w:pPr>
    </w:lvl>
    <w:lvl w:ilvl="6" w:tplc="0409000F">
      <w:start w:val="1"/>
      <w:numFmt w:val="decimal"/>
      <w:lvlText w:val="%7."/>
      <w:lvlJc w:val="left"/>
      <w:pPr>
        <w:ind w:left="4380" w:hanging="360"/>
      </w:pPr>
    </w:lvl>
    <w:lvl w:ilvl="7" w:tplc="04090019">
      <w:start w:val="1"/>
      <w:numFmt w:val="lowerLetter"/>
      <w:lvlText w:val="%8."/>
      <w:lvlJc w:val="left"/>
      <w:pPr>
        <w:ind w:left="5100" w:hanging="360"/>
      </w:pPr>
    </w:lvl>
    <w:lvl w:ilvl="8" w:tplc="0409001B">
      <w:start w:val="1"/>
      <w:numFmt w:val="lowerRoman"/>
      <w:lvlText w:val="%9."/>
      <w:lvlJc w:val="right"/>
      <w:pPr>
        <w:ind w:left="5820" w:hanging="180"/>
      </w:pPr>
    </w:lvl>
  </w:abstractNum>
  <w:abstractNum w:abstractNumId="11" w15:restartNumberingAfterBreak="0">
    <w:nsid w:val="01526756"/>
    <w:multiLevelType w:val="multilevel"/>
    <w:tmpl w:val="501472CC"/>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1E1CBF"/>
    <w:multiLevelType w:val="hybridMultilevel"/>
    <w:tmpl w:val="3ADEC606"/>
    <w:lvl w:ilvl="0" w:tplc="5A2A8376">
      <w:start w:val="1"/>
      <w:numFmt w:val="upperLetter"/>
      <w:lvlText w:val="%1."/>
      <w:lvlJc w:val="left"/>
      <w:pPr>
        <w:ind w:left="1080" w:hanging="360"/>
      </w:pPr>
      <w:rPr>
        <w:rFonts w:ascii="Arial" w:eastAsia="Times New Roman" w:hAnsi="Arial" w:cs="Aria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B0E2B27"/>
    <w:multiLevelType w:val="multilevel"/>
    <w:tmpl w:val="52D058F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62203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A40015A"/>
    <w:multiLevelType w:val="multilevel"/>
    <w:tmpl w:val="54A483DC"/>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943A6F"/>
    <w:multiLevelType w:val="multilevel"/>
    <w:tmpl w:val="CE16B06C"/>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1E3B13"/>
    <w:multiLevelType w:val="hybridMultilevel"/>
    <w:tmpl w:val="C428EF8A"/>
    <w:lvl w:ilvl="0" w:tplc="0409000F">
      <w:start w:val="1"/>
      <w:numFmt w:val="decimal"/>
      <w:lvlText w:val="%1."/>
      <w:lvlJc w:val="left"/>
      <w:pPr>
        <w:ind w:left="1440" w:hanging="360"/>
      </w:pPr>
      <w:rPr>
        <w:rFonts w:hint="default"/>
        <w:vertAlign w:val="baselin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A40905"/>
    <w:multiLevelType w:val="hybridMultilevel"/>
    <w:tmpl w:val="7EE0B452"/>
    <w:lvl w:ilvl="0" w:tplc="04090015">
      <w:start w:val="1"/>
      <w:numFmt w:val="upperLetter"/>
      <w:lvlText w:val="%1."/>
      <w:lvlJc w:val="left"/>
      <w:pPr>
        <w:ind w:left="108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5"/>
  </w:num>
  <w:num w:numId="2" w16cid:durableId="606935877">
    <w:abstractNumId w:val="32"/>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3"/>
  </w:num>
  <w:num w:numId="16" w16cid:durableId="898320195">
    <w:abstractNumId w:val="24"/>
  </w:num>
  <w:num w:numId="17" w16cid:durableId="2128498676">
    <w:abstractNumId w:val="35"/>
  </w:num>
  <w:num w:numId="18" w16cid:durableId="299724409">
    <w:abstractNumId w:val="29"/>
  </w:num>
  <w:num w:numId="19" w16cid:durableId="214585573">
    <w:abstractNumId w:val="18"/>
  </w:num>
  <w:num w:numId="20" w16cid:durableId="1289816170">
    <w:abstractNumId w:val="20"/>
  </w:num>
  <w:num w:numId="21" w16cid:durableId="1066490929">
    <w:abstractNumId w:val="36"/>
  </w:num>
  <w:num w:numId="22" w16cid:durableId="1472481103">
    <w:abstractNumId w:val="31"/>
  </w:num>
  <w:num w:numId="23" w16cid:durableId="1997420403">
    <w:abstractNumId w:val="33"/>
  </w:num>
  <w:num w:numId="24" w16cid:durableId="33312838">
    <w:abstractNumId w:val="30"/>
  </w:num>
  <w:num w:numId="25" w16cid:durableId="507404939">
    <w:abstractNumId w:val="22"/>
  </w:num>
  <w:num w:numId="26" w16cid:durableId="1950313333">
    <w:abstractNumId w:val="27"/>
  </w:num>
  <w:num w:numId="27" w16cid:durableId="1866016584">
    <w:abstractNumId w:val="26"/>
  </w:num>
  <w:num w:numId="28" w16cid:durableId="1798524362">
    <w:abstractNumId w:val="10"/>
  </w:num>
  <w:num w:numId="29" w16cid:durableId="2049260553">
    <w:abstractNumId w:val="25"/>
  </w:num>
  <w:num w:numId="30" w16cid:durableId="632292996">
    <w:abstractNumId w:val="11"/>
  </w:num>
  <w:num w:numId="31" w16cid:durableId="248389337">
    <w:abstractNumId w:val="21"/>
  </w:num>
  <w:num w:numId="32" w16cid:durableId="1993562241">
    <w:abstractNumId w:val="34"/>
  </w:num>
  <w:num w:numId="33" w16cid:durableId="2131049341">
    <w:abstractNumId w:val="23"/>
  </w:num>
  <w:num w:numId="34" w16cid:durableId="596059292">
    <w:abstractNumId w:val="17"/>
  </w:num>
  <w:num w:numId="35" w16cid:durableId="10186975">
    <w:abstractNumId w:val="19"/>
  </w:num>
  <w:num w:numId="36" w16cid:durableId="448091453">
    <w:abstractNumId w:val="14"/>
  </w:num>
  <w:num w:numId="37" w16cid:durableId="994261698">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6B66"/>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37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1E8"/>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079"/>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37FD"/>
    <w:rsid w:val="00165258"/>
    <w:rsid w:val="001652F5"/>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39D3"/>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0"/>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3F4B"/>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1B1E"/>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015"/>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3C72"/>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26C"/>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444"/>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3D4B"/>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0830"/>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5B8"/>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689"/>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44A"/>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01A"/>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7AE"/>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083E"/>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4B42"/>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68C"/>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0D52"/>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52"/>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1E9"/>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2A38"/>
    <w:rsid w:val="00933E6D"/>
    <w:rsid w:val="00934A46"/>
    <w:rsid w:val="00935BC3"/>
    <w:rsid w:val="00937266"/>
    <w:rsid w:val="009375B5"/>
    <w:rsid w:val="00937A60"/>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C21"/>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37A9"/>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31B"/>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3C"/>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87C6A"/>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2F73"/>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10FE"/>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2F9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6F91"/>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6F3"/>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2714"/>
    <w:rsid w:val="00F043C9"/>
    <w:rsid w:val="00F04FA6"/>
    <w:rsid w:val="00F0554B"/>
    <w:rsid w:val="00F07EE5"/>
    <w:rsid w:val="00F10609"/>
    <w:rsid w:val="00F116E0"/>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1EB"/>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8F9DA-B396-4677-B6CE-71EF2C80E68D}"/>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345</Words>
  <Characters>2141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Veopoz SGM 6134-A 2024</vt:lpstr>
    </vt:vector>
  </TitlesOfParts>
  <Company>PCS Health Systems</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Veopoz SGM 6134-A 2024</dc:title>
  <dc:subject/>
  <dc:creator>CVS Caremark</dc:creator>
  <cp:keywords/>
  <cp:lastModifiedBy>Huerta, Linda M</cp:lastModifiedBy>
  <cp:revision>3</cp:revision>
  <cp:lastPrinted>2018-01-09T11:01:00Z</cp:lastPrinted>
  <dcterms:created xsi:type="dcterms:W3CDTF">2024-10-28T15:05:00Z</dcterms:created>
  <dcterms:modified xsi:type="dcterms:W3CDTF">2024-11-14T05:45:00Z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1780000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